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9E5" w:rsidRDefault="009D09E5" w:rsidP="009D09E5">
      <w:pPr>
        <w:spacing w:after="0"/>
        <w:rPr>
          <w:b/>
        </w:rPr>
      </w:pPr>
      <w:r w:rsidRPr="009D09E5">
        <w:rPr>
          <w:b/>
        </w:rPr>
        <w:t>Supplementary Material S3</w:t>
      </w:r>
    </w:p>
    <w:p w:rsidR="009D09E5" w:rsidRPr="009D09E5" w:rsidRDefault="009D09E5" w:rsidP="009D09E5">
      <w:pPr>
        <w:spacing w:after="0"/>
        <w:rPr>
          <w:b/>
        </w:rPr>
      </w:pPr>
      <w:r w:rsidRPr="009D09E5">
        <w:rPr>
          <w:b/>
        </w:rPr>
        <w:t>Data analysis using a Zero-inflated Poisson regression model</w:t>
      </w:r>
    </w:p>
    <w:p w:rsidR="009D09E5" w:rsidRDefault="009D09E5" w:rsidP="009D09E5">
      <w:pPr>
        <w:spacing w:line="360" w:lineRule="auto"/>
      </w:pPr>
      <w:r w:rsidRPr="002D6B63">
        <w:t xml:space="preserve">Adjusting for </w:t>
      </w:r>
      <w:r>
        <w:t xml:space="preserve">other covariates, logistic regression from Zero-inflated Poisson regression revealed that </w:t>
      </w:r>
      <w:r w:rsidRPr="002D6B63">
        <w:t>intak</w:t>
      </w:r>
      <w:r>
        <w:t xml:space="preserve">e of </w:t>
      </w:r>
      <w:proofErr w:type="spellStart"/>
      <w:r>
        <w:t>ivermectin</w:t>
      </w:r>
      <w:proofErr w:type="spellEnd"/>
      <w:r>
        <w:t xml:space="preserve"> twice and </w:t>
      </w:r>
      <w:r w:rsidRPr="002D6B63">
        <w:t>thrice per year resulted in</w:t>
      </w:r>
      <w:r>
        <w:t xml:space="preserve"> </w:t>
      </w:r>
      <w:r w:rsidRPr="002D6B63">
        <w:t xml:space="preserve">higher odds of seizure freedom during the last four months of the trial as compared to an annual </w:t>
      </w:r>
      <w:proofErr w:type="spellStart"/>
      <w:r w:rsidRPr="002D6B63">
        <w:t>ivermectin</w:t>
      </w:r>
      <w:proofErr w:type="spellEnd"/>
      <w:r w:rsidRPr="002D6B63">
        <w:t xml:space="preserve"> regimen</w:t>
      </w:r>
      <w:r>
        <w:t>. In Poisson model component the rate of the seizure counts during the last four months was significantly lower in PWE treated twice and thrice compared</w:t>
      </w:r>
      <w:r w:rsidRPr="002D6B63">
        <w:t xml:space="preserve"> to th</w:t>
      </w:r>
      <w:r>
        <w:t>ose treated once.</w:t>
      </w:r>
      <w:r w:rsidRPr="002D6B63">
        <w:t xml:space="preserve"> </w:t>
      </w:r>
    </w:p>
    <w:p w:rsidR="009D09E5" w:rsidRDefault="009D09E5" w:rsidP="009D09E5">
      <w:pPr>
        <w:spacing w:after="0" w:line="360" w:lineRule="auto"/>
      </w:pPr>
      <w:r>
        <w:rPr>
          <w:b/>
        </w:rPr>
        <w:t>Table S3</w:t>
      </w:r>
      <w:r>
        <w:t xml:space="preserve">. Zero-inflated Poisson regression </w:t>
      </w:r>
      <w:r w:rsidRPr="00ED1C13">
        <w:t xml:space="preserve">exploring the association between </w:t>
      </w:r>
      <w:proofErr w:type="spellStart"/>
      <w:r w:rsidRPr="00ED1C13">
        <w:t>ivermectin</w:t>
      </w:r>
      <w:proofErr w:type="spellEnd"/>
      <w:r w:rsidRPr="00ED1C13">
        <w:t xml:space="preserve"> once, twice and thrice on</w:t>
      </w:r>
      <w:r>
        <w:t xml:space="preserve"> number of </w:t>
      </w:r>
      <w:r w:rsidRPr="00ED1C13">
        <w:t xml:space="preserve">seizure during </w:t>
      </w:r>
      <w:r w:rsidR="002F5593">
        <w:t xml:space="preserve">the </w:t>
      </w:r>
      <w:r w:rsidRPr="00ED1C13">
        <w:t>last four months adjusted for study group (group 1 and 2 combined)</w:t>
      </w:r>
    </w:p>
    <w:tbl>
      <w:tblPr>
        <w:tblW w:w="126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25"/>
        <w:gridCol w:w="801"/>
        <w:gridCol w:w="850"/>
        <w:gridCol w:w="779"/>
        <w:gridCol w:w="990"/>
        <w:gridCol w:w="711"/>
        <w:gridCol w:w="711"/>
        <w:gridCol w:w="821"/>
        <w:gridCol w:w="997"/>
      </w:tblGrid>
      <w:tr w:rsidR="009D09E5" w:rsidRPr="009D09E5" w:rsidTr="002F5593">
        <w:trPr>
          <w:trHeight w:val="288"/>
        </w:trPr>
        <w:tc>
          <w:tcPr>
            <w:tcW w:w="6025" w:type="dxa"/>
            <w:shd w:val="clear" w:color="auto" w:fill="auto"/>
            <w:noWrap/>
            <w:vAlign w:val="center"/>
          </w:tcPr>
          <w:p w:rsidR="009D09E5" w:rsidRPr="009D09E5" w:rsidRDefault="009D09E5" w:rsidP="009D09E5">
            <w:pPr>
              <w:spacing w:after="0" w:line="360" w:lineRule="auto"/>
              <w:jc w:val="center"/>
              <w:textboxTightWrap w:val="none"/>
              <w:rPr>
                <w:b/>
                <w:color w:val="000000"/>
                <w:sz w:val="22"/>
                <w:szCs w:val="18"/>
              </w:rPr>
            </w:pPr>
          </w:p>
        </w:tc>
        <w:tc>
          <w:tcPr>
            <w:tcW w:w="3420" w:type="dxa"/>
            <w:gridSpan w:val="4"/>
            <w:shd w:val="clear" w:color="auto" w:fill="auto"/>
            <w:noWrap/>
            <w:vAlign w:val="center"/>
          </w:tcPr>
          <w:p w:rsidR="009D09E5" w:rsidRPr="009D09E5" w:rsidRDefault="009D09E5" w:rsidP="009D09E5">
            <w:pPr>
              <w:spacing w:after="0" w:line="360" w:lineRule="auto"/>
              <w:jc w:val="center"/>
              <w:textboxTightWrap w:val="none"/>
              <w:rPr>
                <w:b/>
                <w:color w:val="000000"/>
                <w:sz w:val="22"/>
                <w:szCs w:val="18"/>
              </w:rPr>
            </w:pPr>
            <w:r w:rsidRPr="009D09E5">
              <w:rPr>
                <w:b/>
                <w:color w:val="000000"/>
                <w:sz w:val="22"/>
                <w:szCs w:val="18"/>
              </w:rPr>
              <w:t>Zero-Inflated Odds of Seizure freedom during last 4 months</w:t>
            </w:r>
          </w:p>
        </w:tc>
        <w:tc>
          <w:tcPr>
            <w:tcW w:w="3240" w:type="dxa"/>
            <w:gridSpan w:val="4"/>
            <w:shd w:val="clear" w:color="auto" w:fill="auto"/>
            <w:noWrap/>
            <w:vAlign w:val="center"/>
          </w:tcPr>
          <w:p w:rsidR="009D09E5" w:rsidRDefault="009D09E5" w:rsidP="009D09E5">
            <w:pPr>
              <w:spacing w:after="0" w:line="360" w:lineRule="auto"/>
              <w:jc w:val="center"/>
              <w:textboxTightWrap w:val="none"/>
              <w:rPr>
                <w:b/>
                <w:bCs/>
                <w:color w:val="000000"/>
                <w:sz w:val="22"/>
                <w:szCs w:val="18"/>
              </w:rPr>
            </w:pPr>
            <w:r w:rsidRPr="009D09E5">
              <w:rPr>
                <w:b/>
                <w:bCs/>
                <w:color w:val="000000"/>
                <w:sz w:val="22"/>
                <w:szCs w:val="18"/>
              </w:rPr>
              <w:t>Seizure frequenc</w:t>
            </w:r>
            <w:r>
              <w:rPr>
                <w:b/>
                <w:bCs/>
                <w:color w:val="000000"/>
                <w:sz w:val="22"/>
                <w:szCs w:val="18"/>
              </w:rPr>
              <w:t>y</w:t>
            </w:r>
            <w:r w:rsidRPr="009D09E5">
              <w:rPr>
                <w:b/>
                <w:bCs/>
                <w:color w:val="000000"/>
                <w:sz w:val="22"/>
                <w:szCs w:val="18"/>
              </w:rPr>
              <w:t xml:space="preserve"> </w:t>
            </w:r>
          </w:p>
          <w:p w:rsidR="009D09E5" w:rsidRPr="009D09E5" w:rsidRDefault="009D09E5" w:rsidP="009D09E5">
            <w:pPr>
              <w:spacing w:after="0" w:line="360" w:lineRule="auto"/>
              <w:jc w:val="center"/>
              <w:textboxTightWrap w:val="none"/>
              <w:rPr>
                <w:b/>
                <w:bCs/>
                <w:color w:val="000000"/>
                <w:sz w:val="22"/>
                <w:szCs w:val="18"/>
              </w:rPr>
            </w:pPr>
            <w:r w:rsidRPr="009D09E5">
              <w:rPr>
                <w:b/>
                <w:bCs/>
                <w:color w:val="000000"/>
                <w:sz w:val="22"/>
                <w:szCs w:val="18"/>
              </w:rPr>
              <w:t>IRR Poisson Model</w:t>
            </w:r>
          </w:p>
        </w:tc>
      </w:tr>
      <w:tr w:rsidR="009D09E5" w:rsidRPr="009D09E5" w:rsidTr="002F5593">
        <w:trPr>
          <w:trHeight w:val="288"/>
        </w:trPr>
        <w:tc>
          <w:tcPr>
            <w:tcW w:w="6025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9D09E5">
            <w:pPr>
              <w:spacing w:after="0" w:line="360" w:lineRule="auto"/>
              <w:jc w:val="center"/>
              <w:textboxTightWrap w:val="none"/>
              <w:rPr>
                <w:b/>
                <w:color w:val="000000"/>
                <w:sz w:val="22"/>
                <w:szCs w:val="18"/>
              </w:rPr>
            </w:pPr>
            <w:r w:rsidRPr="009D09E5">
              <w:rPr>
                <w:b/>
                <w:color w:val="000000"/>
                <w:sz w:val="22"/>
                <w:szCs w:val="18"/>
              </w:rPr>
              <w:t>Variables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b/>
                <w:color w:val="000000"/>
                <w:sz w:val="22"/>
                <w:szCs w:val="18"/>
              </w:rPr>
            </w:pPr>
            <w:r w:rsidRPr="009D09E5">
              <w:rPr>
                <w:b/>
                <w:color w:val="000000"/>
                <w:sz w:val="22"/>
                <w:szCs w:val="18"/>
              </w:rPr>
              <w:t>OR</w:t>
            </w:r>
          </w:p>
        </w:tc>
        <w:tc>
          <w:tcPr>
            <w:tcW w:w="1629" w:type="dxa"/>
            <w:gridSpan w:val="2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b/>
                <w:color w:val="000000"/>
                <w:sz w:val="22"/>
                <w:szCs w:val="18"/>
              </w:rPr>
            </w:pPr>
            <w:r w:rsidRPr="009D09E5">
              <w:rPr>
                <w:b/>
                <w:color w:val="000000"/>
                <w:sz w:val="22"/>
                <w:szCs w:val="18"/>
              </w:rPr>
              <w:t>95% CI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b/>
                <w:color w:val="000000"/>
                <w:sz w:val="22"/>
                <w:szCs w:val="18"/>
              </w:rPr>
            </w:pPr>
            <w:r w:rsidRPr="009D09E5">
              <w:rPr>
                <w:b/>
                <w:color w:val="000000"/>
                <w:sz w:val="22"/>
                <w:szCs w:val="18"/>
              </w:rPr>
              <w:t>P-value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b/>
                <w:bCs/>
                <w:color w:val="000000"/>
                <w:sz w:val="22"/>
                <w:szCs w:val="18"/>
              </w:rPr>
            </w:pPr>
            <w:r w:rsidRPr="009D09E5">
              <w:rPr>
                <w:b/>
                <w:bCs/>
                <w:color w:val="000000"/>
                <w:sz w:val="22"/>
                <w:szCs w:val="18"/>
              </w:rPr>
              <w:t>IRR</w:t>
            </w:r>
          </w:p>
        </w:tc>
        <w:tc>
          <w:tcPr>
            <w:tcW w:w="1532" w:type="dxa"/>
            <w:gridSpan w:val="2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b/>
                <w:bCs/>
                <w:color w:val="000000"/>
                <w:sz w:val="22"/>
                <w:szCs w:val="18"/>
              </w:rPr>
            </w:pPr>
            <w:r w:rsidRPr="009D09E5">
              <w:rPr>
                <w:b/>
                <w:bCs/>
                <w:color w:val="000000"/>
                <w:sz w:val="22"/>
                <w:szCs w:val="18"/>
              </w:rPr>
              <w:t>95% CI</w:t>
            </w:r>
          </w:p>
        </w:tc>
        <w:tc>
          <w:tcPr>
            <w:tcW w:w="997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b/>
                <w:bCs/>
                <w:color w:val="000000"/>
                <w:sz w:val="22"/>
                <w:szCs w:val="18"/>
              </w:rPr>
            </w:pPr>
            <w:r w:rsidRPr="009D09E5">
              <w:rPr>
                <w:b/>
                <w:bCs/>
                <w:color w:val="000000"/>
                <w:sz w:val="22"/>
                <w:szCs w:val="18"/>
              </w:rPr>
              <w:t>P-value</w:t>
            </w:r>
          </w:p>
        </w:tc>
      </w:tr>
      <w:tr w:rsidR="002F5593" w:rsidRPr="009D09E5" w:rsidTr="002F5593">
        <w:trPr>
          <w:trHeight w:val="288"/>
        </w:trPr>
        <w:tc>
          <w:tcPr>
            <w:tcW w:w="6025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left"/>
              <w:textboxTightWrap w:val="none"/>
              <w:rPr>
                <w:color w:val="000000"/>
                <w:sz w:val="22"/>
                <w:szCs w:val="18"/>
              </w:rPr>
            </w:pPr>
            <w:proofErr w:type="spellStart"/>
            <w:r w:rsidRPr="009D09E5">
              <w:rPr>
                <w:bCs/>
                <w:color w:val="000000"/>
                <w:sz w:val="22"/>
                <w:szCs w:val="18"/>
              </w:rPr>
              <w:t>Ivermectin</w:t>
            </w:r>
            <w:proofErr w:type="spellEnd"/>
            <w:r w:rsidRPr="009D09E5">
              <w:rPr>
                <w:bCs/>
                <w:color w:val="000000"/>
                <w:sz w:val="22"/>
                <w:szCs w:val="18"/>
              </w:rPr>
              <w:t xml:space="preserve"> dose twice/year vs once/year 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1.872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1.209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2.899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0.005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0.134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0.026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0.682</w:t>
            </w:r>
          </w:p>
        </w:tc>
        <w:tc>
          <w:tcPr>
            <w:tcW w:w="997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0.015</w:t>
            </w:r>
          </w:p>
        </w:tc>
      </w:tr>
      <w:tr w:rsidR="009D09E5" w:rsidRPr="009D09E5" w:rsidTr="002F5593">
        <w:trPr>
          <w:trHeight w:val="288"/>
        </w:trPr>
        <w:tc>
          <w:tcPr>
            <w:tcW w:w="6025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left"/>
              <w:textboxTightWrap w:val="none"/>
              <w:rPr>
                <w:sz w:val="22"/>
                <w:szCs w:val="18"/>
              </w:rPr>
            </w:pPr>
            <w:proofErr w:type="spellStart"/>
            <w:r w:rsidRPr="009D09E5">
              <w:rPr>
                <w:sz w:val="22"/>
                <w:szCs w:val="18"/>
              </w:rPr>
              <w:t>Ivermectin</w:t>
            </w:r>
            <w:proofErr w:type="spellEnd"/>
            <w:r w:rsidRPr="009D09E5">
              <w:rPr>
                <w:sz w:val="22"/>
                <w:szCs w:val="18"/>
              </w:rPr>
              <w:t xml:space="preserve"> dose thrice/year vs once/year 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sz w:val="22"/>
                <w:szCs w:val="18"/>
              </w:rPr>
            </w:pPr>
            <w:r w:rsidRPr="009D09E5">
              <w:rPr>
                <w:sz w:val="22"/>
                <w:szCs w:val="18"/>
              </w:rPr>
              <w:t>1.159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sz w:val="22"/>
                <w:szCs w:val="18"/>
              </w:rPr>
            </w:pPr>
            <w:r w:rsidRPr="009D09E5">
              <w:rPr>
                <w:sz w:val="22"/>
                <w:szCs w:val="18"/>
              </w:rPr>
              <w:t>0.917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sz w:val="22"/>
                <w:szCs w:val="18"/>
              </w:rPr>
            </w:pPr>
            <w:r w:rsidRPr="009D09E5">
              <w:rPr>
                <w:sz w:val="22"/>
                <w:szCs w:val="18"/>
              </w:rPr>
              <w:t>1.466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sz w:val="22"/>
                <w:szCs w:val="18"/>
              </w:rPr>
            </w:pPr>
            <w:r w:rsidRPr="009D09E5">
              <w:rPr>
                <w:sz w:val="22"/>
                <w:szCs w:val="18"/>
              </w:rPr>
              <w:t>0.217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sz w:val="22"/>
                <w:szCs w:val="18"/>
              </w:rPr>
            </w:pPr>
            <w:r w:rsidRPr="009D09E5">
              <w:rPr>
                <w:sz w:val="22"/>
                <w:szCs w:val="18"/>
              </w:rPr>
              <w:t>0.297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sz w:val="22"/>
                <w:szCs w:val="18"/>
              </w:rPr>
            </w:pPr>
            <w:r w:rsidRPr="009D09E5">
              <w:rPr>
                <w:sz w:val="22"/>
                <w:szCs w:val="18"/>
              </w:rPr>
              <w:t>0.095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sz w:val="22"/>
                <w:szCs w:val="18"/>
              </w:rPr>
            </w:pPr>
            <w:r w:rsidRPr="009D09E5">
              <w:rPr>
                <w:sz w:val="22"/>
                <w:szCs w:val="18"/>
              </w:rPr>
              <w:t>0.923</w:t>
            </w:r>
          </w:p>
        </w:tc>
        <w:tc>
          <w:tcPr>
            <w:tcW w:w="997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sz w:val="22"/>
                <w:szCs w:val="18"/>
              </w:rPr>
            </w:pPr>
            <w:r w:rsidRPr="009D09E5">
              <w:rPr>
                <w:sz w:val="22"/>
                <w:szCs w:val="18"/>
              </w:rPr>
              <w:t>0.036</w:t>
            </w:r>
          </w:p>
        </w:tc>
      </w:tr>
      <w:tr w:rsidR="009D09E5" w:rsidRPr="009D09E5" w:rsidTr="002F5593">
        <w:trPr>
          <w:trHeight w:val="288"/>
        </w:trPr>
        <w:tc>
          <w:tcPr>
            <w:tcW w:w="6025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left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bCs/>
                <w:color w:val="000000"/>
                <w:sz w:val="22"/>
                <w:szCs w:val="18"/>
              </w:rPr>
              <w:t xml:space="preserve">Female vs male 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0.615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0.506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0.747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&lt;0.001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0.576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0.257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1.289</w:t>
            </w:r>
          </w:p>
        </w:tc>
        <w:tc>
          <w:tcPr>
            <w:tcW w:w="997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0.180</w:t>
            </w:r>
          </w:p>
        </w:tc>
      </w:tr>
      <w:tr w:rsidR="002F5593" w:rsidRPr="009D09E5" w:rsidTr="002F5593">
        <w:trPr>
          <w:trHeight w:val="288"/>
        </w:trPr>
        <w:tc>
          <w:tcPr>
            <w:tcW w:w="6025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left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bCs/>
                <w:color w:val="000000"/>
                <w:sz w:val="22"/>
                <w:szCs w:val="18"/>
              </w:rPr>
              <w:t>Age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0.987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0.967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1.007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0.199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0.994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1.047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0.944</w:t>
            </w:r>
          </w:p>
        </w:tc>
        <w:tc>
          <w:tcPr>
            <w:tcW w:w="997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0.828</w:t>
            </w:r>
          </w:p>
        </w:tc>
      </w:tr>
      <w:tr w:rsidR="009D09E5" w:rsidRPr="009D09E5" w:rsidTr="002F5593">
        <w:trPr>
          <w:trHeight w:val="288"/>
        </w:trPr>
        <w:tc>
          <w:tcPr>
            <w:tcW w:w="6025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left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bCs/>
                <w:color w:val="000000"/>
                <w:sz w:val="22"/>
                <w:szCs w:val="18"/>
              </w:rPr>
              <w:t>Weight (in kg)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1.009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0.998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1.020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0.128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1.003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1.048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0.959</w:t>
            </w:r>
          </w:p>
        </w:tc>
        <w:tc>
          <w:tcPr>
            <w:tcW w:w="997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0.897</w:t>
            </w:r>
          </w:p>
        </w:tc>
      </w:tr>
      <w:tr w:rsidR="002F5593" w:rsidRPr="009D09E5" w:rsidTr="002F5593">
        <w:trPr>
          <w:trHeight w:val="288"/>
        </w:trPr>
        <w:tc>
          <w:tcPr>
            <w:tcW w:w="6025" w:type="dxa"/>
            <w:shd w:val="clear" w:color="auto" w:fill="auto"/>
            <w:noWrap/>
            <w:vAlign w:val="center"/>
            <w:hideMark/>
          </w:tcPr>
          <w:p w:rsidR="009D09E5" w:rsidRPr="009D09E5" w:rsidRDefault="00B95947" w:rsidP="002F5593">
            <w:pPr>
              <w:spacing w:after="0" w:line="360" w:lineRule="auto"/>
              <w:jc w:val="left"/>
              <w:textboxTightWrap w:val="none"/>
              <w:rPr>
                <w:color w:val="000000"/>
                <w:sz w:val="22"/>
                <w:szCs w:val="18"/>
              </w:rPr>
            </w:pPr>
            <w:r>
              <w:rPr>
                <w:bCs/>
                <w:color w:val="000000"/>
                <w:sz w:val="22"/>
                <w:szCs w:val="18"/>
              </w:rPr>
              <w:t>Seizure frequency</w:t>
            </w:r>
            <w:bookmarkStart w:id="0" w:name="_GoBack"/>
            <w:bookmarkEnd w:id="0"/>
            <w:r w:rsidR="009D09E5" w:rsidRPr="009D09E5">
              <w:rPr>
                <w:bCs/>
                <w:color w:val="000000"/>
                <w:sz w:val="22"/>
                <w:szCs w:val="18"/>
              </w:rPr>
              <w:t xml:space="preserve"> at baseline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1.647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1.444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1.878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&lt;0.001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1.120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1.942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0.646</w:t>
            </w:r>
          </w:p>
        </w:tc>
        <w:tc>
          <w:tcPr>
            <w:tcW w:w="997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0.687</w:t>
            </w:r>
          </w:p>
        </w:tc>
      </w:tr>
      <w:tr w:rsidR="009D09E5" w:rsidRPr="009D09E5" w:rsidTr="002F5593">
        <w:trPr>
          <w:trHeight w:val="288"/>
        </w:trPr>
        <w:tc>
          <w:tcPr>
            <w:tcW w:w="6025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left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bCs/>
                <w:color w:val="000000"/>
                <w:sz w:val="22"/>
                <w:szCs w:val="18"/>
              </w:rPr>
              <w:t>Duration of epilepsy (years)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0.764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0.674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0.865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&lt;0.001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1.028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1.718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0.616</w:t>
            </w:r>
          </w:p>
        </w:tc>
        <w:tc>
          <w:tcPr>
            <w:tcW w:w="997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0.915</w:t>
            </w:r>
          </w:p>
        </w:tc>
      </w:tr>
      <w:tr w:rsidR="002F5593" w:rsidRPr="009D09E5" w:rsidTr="002F5593">
        <w:trPr>
          <w:trHeight w:val="288"/>
        </w:trPr>
        <w:tc>
          <w:tcPr>
            <w:tcW w:w="6025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left"/>
              <w:textboxTightWrap w:val="none"/>
              <w:rPr>
                <w:color w:val="000000"/>
                <w:sz w:val="22"/>
                <w:szCs w:val="18"/>
              </w:rPr>
            </w:pPr>
            <w:proofErr w:type="spellStart"/>
            <w:r w:rsidRPr="009D09E5">
              <w:rPr>
                <w:bCs/>
                <w:color w:val="000000"/>
                <w:sz w:val="22"/>
                <w:szCs w:val="18"/>
              </w:rPr>
              <w:t>Microfilarial</w:t>
            </w:r>
            <w:proofErr w:type="spellEnd"/>
            <w:r w:rsidRPr="009D09E5">
              <w:rPr>
                <w:bCs/>
                <w:color w:val="000000"/>
                <w:sz w:val="22"/>
                <w:szCs w:val="18"/>
              </w:rPr>
              <w:t xml:space="preserve"> density at baseline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1.100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1.040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1.164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0.001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1.316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1.640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1.056</w:t>
            </w:r>
          </w:p>
        </w:tc>
        <w:tc>
          <w:tcPr>
            <w:tcW w:w="997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0.014</w:t>
            </w:r>
          </w:p>
        </w:tc>
      </w:tr>
      <w:tr w:rsidR="009D09E5" w:rsidRPr="009D09E5" w:rsidTr="002F5593">
        <w:trPr>
          <w:trHeight w:val="288"/>
        </w:trPr>
        <w:tc>
          <w:tcPr>
            <w:tcW w:w="6025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left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bCs/>
                <w:color w:val="000000"/>
                <w:sz w:val="22"/>
                <w:szCs w:val="18"/>
              </w:rPr>
              <w:t>Optimal vs sub-optimal AED adherence during last four months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0.850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0.688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1.049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0.131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0.410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0.171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0.981</w:t>
            </w:r>
          </w:p>
        </w:tc>
        <w:tc>
          <w:tcPr>
            <w:tcW w:w="997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0.045</w:t>
            </w:r>
          </w:p>
        </w:tc>
      </w:tr>
      <w:tr w:rsidR="002F5593" w:rsidRPr="009D09E5" w:rsidTr="002F5593">
        <w:trPr>
          <w:trHeight w:val="288"/>
        </w:trPr>
        <w:tc>
          <w:tcPr>
            <w:tcW w:w="6025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left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bCs/>
                <w:color w:val="000000"/>
                <w:sz w:val="22"/>
                <w:szCs w:val="18"/>
              </w:rPr>
              <w:t>&gt;30mg of AED increase (</w:t>
            </w:r>
            <w:r w:rsidR="002F5593">
              <w:rPr>
                <w:bCs/>
                <w:color w:val="000000"/>
                <w:sz w:val="22"/>
                <w:szCs w:val="18"/>
              </w:rPr>
              <w:t>between M0 and M12</w:t>
            </w:r>
            <w:r w:rsidRPr="009D09E5">
              <w:rPr>
                <w:bCs/>
                <w:color w:val="000000"/>
                <w:sz w:val="22"/>
                <w:szCs w:val="18"/>
              </w:rPr>
              <w:t xml:space="preserve">) vs no increase 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1.044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0.837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1.303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0.699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7.584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2.871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20.033</w:t>
            </w:r>
          </w:p>
        </w:tc>
        <w:tc>
          <w:tcPr>
            <w:tcW w:w="997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&lt;0.001</w:t>
            </w:r>
          </w:p>
        </w:tc>
      </w:tr>
      <w:tr w:rsidR="009D09E5" w:rsidRPr="009D09E5" w:rsidTr="002F5593">
        <w:trPr>
          <w:trHeight w:val="288"/>
        </w:trPr>
        <w:tc>
          <w:tcPr>
            <w:tcW w:w="6025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left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bCs/>
                <w:color w:val="000000"/>
                <w:sz w:val="22"/>
                <w:szCs w:val="18"/>
              </w:rPr>
              <w:t>Study group 1 vs group 2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0.729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0.537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0.991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0.044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0.322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0.094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1.106</w:t>
            </w:r>
          </w:p>
        </w:tc>
        <w:tc>
          <w:tcPr>
            <w:tcW w:w="997" w:type="dxa"/>
            <w:shd w:val="clear" w:color="auto" w:fill="auto"/>
            <w:noWrap/>
            <w:vAlign w:val="center"/>
            <w:hideMark/>
          </w:tcPr>
          <w:p w:rsidR="009D09E5" w:rsidRPr="009D09E5" w:rsidRDefault="009D09E5" w:rsidP="002F5593">
            <w:pPr>
              <w:spacing w:after="0" w:line="360" w:lineRule="auto"/>
              <w:jc w:val="center"/>
              <w:textboxTightWrap w:val="none"/>
              <w:rPr>
                <w:color w:val="000000"/>
                <w:sz w:val="22"/>
                <w:szCs w:val="18"/>
              </w:rPr>
            </w:pPr>
            <w:r w:rsidRPr="009D09E5">
              <w:rPr>
                <w:color w:val="000000"/>
                <w:sz w:val="22"/>
                <w:szCs w:val="18"/>
              </w:rPr>
              <w:t>0.072</w:t>
            </w:r>
          </w:p>
        </w:tc>
      </w:tr>
      <w:tr w:rsidR="009D09E5" w:rsidRPr="009D09E5" w:rsidTr="002F5593">
        <w:trPr>
          <w:trHeight w:val="288"/>
        </w:trPr>
        <w:tc>
          <w:tcPr>
            <w:tcW w:w="12685" w:type="dxa"/>
            <w:gridSpan w:val="9"/>
            <w:shd w:val="clear" w:color="auto" w:fill="auto"/>
            <w:noWrap/>
            <w:vAlign w:val="center"/>
          </w:tcPr>
          <w:p w:rsidR="009D09E5" w:rsidRPr="009D09E5" w:rsidRDefault="009D09E5" w:rsidP="009D09E5">
            <w:pPr>
              <w:spacing w:after="0" w:line="360" w:lineRule="auto"/>
              <w:jc w:val="left"/>
              <w:textboxTightWrap w:val="none"/>
              <w:rPr>
                <w:i/>
                <w:color w:val="000000"/>
                <w:sz w:val="22"/>
                <w:szCs w:val="18"/>
              </w:rPr>
            </w:pPr>
            <w:r w:rsidRPr="009D09E5">
              <w:rPr>
                <w:b/>
                <w:i/>
                <w:color w:val="000000"/>
                <w:sz w:val="20"/>
                <w:szCs w:val="18"/>
              </w:rPr>
              <w:t>CI</w:t>
            </w:r>
            <w:r>
              <w:rPr>
                <w:i/>
                <w:color w:val="000000"/>
                <w:sz w:val="20"/>
                <w:szCs w:val="18"/>
              </w:rPr>
              <w:t xml:space="preserve">: </w:t>
            </w:r>
            <w:r w:rsidRPr="009D09E5">
              <w:rPr>
                <w:i/>
                <w:color w:val="000000"/>
                <w:sz w:val="20"/>
                <w:szCs w:val="18"/>
              </w:rPr>
              <w:t xml:space="preserve">confidence interval; </w:t>
            </w:r>
            <w:r w:rsidRPr="009D09E5">
              <w:rPr>
                <w:b/>
                <w:i/>
                <w:color w:val="000000"/>
                <w:sz w:val="20"/>
                <w:szCs w:val="18"/>
              </w:rPr>
              <w:t>OR</w:t>
            </w:r>
            <w:r w:rsidRPr="009D09E5">
              <w:rPr>
                <w:i/>
                <w:color w:val="000000"/>
                <w:sz w:val="20"/>
                <w:szCs w:val="18"/>
              </w:rPr>
              <w:t xml:space="preserve">: Odd’s Ratios; </w:t>
            </w:r>
            <w:r w:rsidRPr="009D09E5">
              <w:rPr>
                <w:b/>
                <w:i/>
                <w:color w:val="000000"/>
                <w:sz w:val="20"/>
                <w:szCs w:val="18"/>
              </w:rPr>
              <w:t>IRR</w:t>
            </w:r>
            <w:r>
              <w:rPr>
                <w:i/>
                <w:color w:val="000000"/>
                <w:sz w:val="20"/>
                <w:szCs w:val="18"/>
              </w:rPr>
              <w:t xml:space="preserve">: </w:t>
            </w:r>
            <w:r w:rsidRPr="009D09E5">
              <w:rPr>
                <w:i/>
                <w:color w:val="000000"/>
                <w:sz w:val="20"/>
                <w:szCs w:val="18"/>
              </w:rPr>
              <w:t> incidence rate ratio.</w:t>
            </w:r>
          </w:p>
        </w:tc>
      </w:tr>
    </w:tbl>
    <w:p w:rsidR="006D4180" w:rsidRDefault="006D4180"/>
    <w:sectPr w:rsidR="006D4180" w:rsidSect="009D09E5">
      <w:pgSz w:w="16838" w:h="11906" w:orient="landscape"/>
      <w:pgMar w:top="900" w:right="1440" w:bottom="99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6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9E5"/>
    <w:rsid w:val="002F5593"/>
    <w:rsid w:val="006D4180"/>
    <w:rsid w:val="009D09E5"/>
    <w:rsid w:val="00B95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C3CB1A"/>
  <w15:chartTrackingRefBased/>
  <w15:docId w15:val="{73144BCB-2605-4D54-8877-F67320F8F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09E5"/>
    <w:pPr>
      <w:spacing w:after="240" w:line="480" w:lineRule="auto"/>
      <w:jc w:val="both"/>
      <w:textboxTightWrap w:val="allLines"/>
    </w:pPr>
    <w:rPr>
      <w:rFonts w:ascii="Times New Roman" w:eastAsia="Times New Roman" w:hAnsi="Times New Roman" w:cs="Times New Roman"/>
      <w:sz w:val="24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Universiteit Antwerpen</Company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Nelson Siewe Fodjo</dc:creator>
  <cp:keywords/>
  <dc:description/>
  <cp:lastModifiedBy>Joseph Nelson Siewe Fodjo</cp:lastModifiedBy>
  <cp:revision>2</cp:revision>
  <dcterms:created xsi:type="dcterms:W3CDTF">2020-02-18T13:46:00Z</dcterms:created>
  <dcterms:modified xsi:type="dcterms:W3CDTF">2020-02-18T14:45:00Z</dcterms:modified>
</cp:coreProperties>
</file>